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450" w:lineRule="atLeast"/>
        <w:jc w:val="left"/>
        <w:rPr>
          <w:rFonts w:hint="default" w:ascii="微软雅黑" w:hAnsi="微软雅黑" w:eastAsia="微软雅黑"/>
          <w:b w:val="0"/>
          <w:i w:val="0"/>
          <w:snapToGrid/>
          <w:color w:val="555555"/>
          <w:sz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555555"/>
          <w:sz w:val="32"/>
          <w:shd w:val="clear" w:color="auto" w:fill="FFFFFF"/>
          <w:lang w:eastAsia="zh-CN"/>
        </w:rPr>
        <w:t>附件：</w:t>
      </w:r>
    </w:p>
    <w:p>
      <w:pPr>
        <w:shd w:val="solid" w:color="FFFFFF" w:fill="auto"/>
        <w:kinsoku/>
        <w:autoSpaceDE/>
        <w:autoSpaceDN w:val="0"/>
        <w:spacing w:line="560" w:lineRule="atLeast"/>
        <w:ind w:firstLine="1120"/>
        <w:jc w:val="left"/>
        <w:rPr>
          <w:rFonts w:hint="default" w:ascii="仿宋_GB2312" w:hAnsi="仿宋_GB2312" w:eastAsia="仿宋_GB2312"/>
          <w:b w:val="0"/>
          <w:i w:val="0"/>
          <w:snapToGrid/>
          <w:color w:val="555555"/>
          <w:sz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555555"/>
          <w:sz w:val="32"/>
          <w:shd w:val="clear" w:color="auto" w:fill="FFFFFF"/>
          <w:lang w:eastAsia="zh-CN"/>
        </w:rPr>
        <w:t xml:space="preserve">   </w:t>
      </w:r>
    </w:p>
    <w:tbl>
      <w:tblPr>
        <w:tblStyle w:val="3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"/>
        <w:gridCol w:w="1050"/>
        <w:gridCol w:w="2353"/>
        <w:gridCol w:w="440"/>
        <w:gridCol w:w="2742"/>
        <w:gridCol w:w="1246"/>
        <w:gridCol w:w="3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7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72"/>
                <w:u w:val="none"/>
                <w:lang w:eastAsia="zh-CN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7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施工地址：                                                    客户名称：                              面积：                                   设计师：     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05" w:hRule="atLeast"/>
        </w:trPr>
        <w:tc>
          <w:tcPr>
            <w:tcW w:w="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项目名称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主辅材料说明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单位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数量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报价金额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05" w:hRule="atLeast"/>
        </w:trPr>
        <w:tc>
          <w:tcPr>
            <w:tcW w:w="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一、干休所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1、一楼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10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拆除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拆除吧台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10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雨遮棚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窗帘更换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1、拆除原有窗帘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2、人工安装 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138.65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地面找平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1、32.5号水泥，采用1：3水泥砂浆施工。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2、找平厚度5公分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吧台柜门维修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银镜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14.9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吸顶灯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盏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660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1、拆除原有门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2、人工安装 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樘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7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2、二楼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660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地面沙浆干铺层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1、人工、水泥、沙浆（4公分）；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57.41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660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拆除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660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窗帘更换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1、拆除原有窗帘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2、人工安装 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16.2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660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吸顶灯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盏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178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地面瓷砖铺贴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57.41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7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1、三楼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窗帘更换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1、拆除原有窗帘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2、人工安装 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291.1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硅酸盖板吊顶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25.7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护墙板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29.4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525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开铝合金推拉窗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7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8号楼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水龙头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实木双开门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樘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卫生间小便池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地面找平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1、32.5号水泥，采用1：3水泥砂浆施工。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2、找平厚度5公分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10.25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地面沙浆干铺层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1、人工、水泥、沙浆（4公分）；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10.25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地面瓷砖铺贴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1、不包含主材地砖费用，地砖规格不小于300mm*300mm,不大于800mm*800mm；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2、横竖铺贴；斜铺每平方米另加20元，拼花每平方米另加30元，圈边每米28元计算。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3、工程量按展开面积计算。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4、仿古砖、玻化砖、切边、磨边。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5.如卫生间有贴腰线按每米15元计算。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10.25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墙面瓷砖铺贴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1、水泥砂浆强度32.5*普通硅酸盐水泥；         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2、特殊铺装工艺，规格小于300*300mm ,或大于600*600mm价格另计，（斜贴每平方米另加30元、花贴每平方米另加50元）。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 xml:space="preserve">3、仿古砖、玻化砖、切边、磨边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43.68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防水处理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1、入户时检查原地面防水情况，使用“百得”防水涂料，涂刷二遍，涂刷高度1.8M                                                                                                                                                                                 2、24小时防水实验无渗漏。           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3、此价格不包括毛坯房等特殊地面处理。             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4、如客户取消此项，则厨卫漏水及造成的一切损失与公司无关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 xml:space="preserve">                           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包管(单管)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红砖、水泥、沙浆、人工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蹲便器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洗脸盆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地面铺塑胶地板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95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48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石材台面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M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7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水电工程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91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给水管预埋敷设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PPR管、主管直径25mm，支管直径20mm，不含水龙头、三角阀、软管。给水主立管含每层一个单向阀。如阳台增加热水管，每米以60元计算(不含温泉水、太阳能 、空气能及循环水)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10.25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61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排水管预埋敷设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PVC管(不含马桶移位)、不含排水主管(立管)改造、不含阳台花园花池造景排水改造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10.25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84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弱电布线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电话线，闭路线，8芯网络线，客厅音响线，敷设上智牌PVC电套管；PVC弱电插座暗盒。(不含智能系统)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9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  <w:lang w:eastAsia="zh-CN"/>
              </w:rPr>
              <w:t>强电电位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default" w:ascii="Times New Roman"/>
                <w:b w:val="0"/>
                <w:i w:val="0"/>
                <w:snapToGrid/>
                <w:color w:val="000000"/>
                <w:sz w:val="18"/>
                <w:u w:val="none"/>
                <w:shd w:val="clear" w:color="auto" w:fill="FFFFFF"/>
              </w:rPr>
              <w:t>厨房插座、卫生间热水器插座、客厅空调插座BV4专线；其它空调插座BV2.5专线；普通插座、照明BV2.5电线；单层照明支线BV1.5电线；敷设上智牌PVC电套管；PVC开关插座暗盒。(不含中央空调专用线)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10.25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7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墙体粉刷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81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天花、墙面基层处理（含拆除处天花板、地板、墙体的修补）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腻子粉刮底三遍(接缝处麻布、牛皮纸防裂处理，阴阳角保护条、水泥、白胶补底，环保腻子批灰。含拆除处天花板、地板、墙体的修补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989.92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7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天花、墙面打磨上底漆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打磨修补，底漆喷涂二遍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989.92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7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天花、墙面面漆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面漆喷涂二遍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989.92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3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>工程直接费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  <w:t>综合部分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353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2742" w:type="dxa"/>
            <w:tcBorders>
              <w:top w:val="single" w:color="000000" w:sz="4" w:space="0"/>
              <w:bottom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8"/>
                <w:u w:val="none"/>
                <w:shd w:val="clear" w:color="auto" w:fill="FFFF00"/>
                <w:lang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75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垃圾清运费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1、运至小区物业指定处(150M内)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2、此价格为将垃圾由楼上运到楼下垃圾堆放处的费用，不包含物业收取的垃圾费。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445.83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材料搬运费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按装修全面积计算(无电梯楼房，需乘以楼层数)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445.83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成品保护费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波涛专用保护膜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445.83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7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零星修补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零星修补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10.25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飘窗拆除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单人工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地梁拆除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单人工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M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拆除12CM砖墙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非减力墙，单人工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41.9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铲白灰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单人工，含清理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989.92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竣工保洁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完工后交房前的整体清洁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445.83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7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/>
                <w:i w:val="0"/>
                <w:snapToGrid/>
                <w:color w:val="000000"/>
                <w:sz w:val="20"/>
                <w:u w:val="none"/>
                <w:shd w:val="clear" w:color="auto" w:fill="FFFFFF"/>
              </w:rPr>
            </w:pP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总计金额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ahoma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0" w:hRule="atLeast"/>
        </w:trPr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 xml:space="preserve">单位法人签字：                         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单位盖章：</w:t>
            </w:r>
          </w:p>
        </w:tc>
      </w:tr>
    </w:tbl>
    <w:p>
      <w:pPr>
        <w:shd w:val="solid" w:color="FFFFFF" w:fill="auto"/>
        <w:kinsoku/>
        <w:autoSpaceDE/>
        <w:autoSpaceDN w:val="0"/>
        <w:spacing w:line="560" w:lineRule="atLeast"/>
        <w:ind w:firstLine="1120"/>
        <w:jc w:val="left"/>
        <w:rPr>
          <w:rFonts w:hint="default" w:ascii="仿宋_GB2312" w:hAnsi="仿宋_GB2312" w:eastAsia="仿宋_GB2312"/>
          <w:b w:val="0"/>
          <w:i w:val="0"/>
          <w:snapToGrid/>
          <w:color w:val="555555"/>
          <w:sz w:val="32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560" w:lineRule="atLeast"/>
        <w:ind w:firstLine="0"/>
        <w:jc w:val="left"/>
        <w:rPr>
          <w:rFonts w:hint="default" w:ascii="仿宋_GB2312" w:hAnsi="仿宋_GB2312" w:eastAsia="仿宋_GB2312"/>
          <w:b w:val="0"/>
          <w:i w:val="0"/>
          <w:snapToGrid/>
          <w:color w:val="555555"/>
          <w:sz w:val="32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560" w:lineRule="atLeast"/>
        <w:ind w:firstLine="0"/>
        <w:jc w:val="left"/>
        <w:rPr>
          <w:rFonts w:hint="default" w:ascii="仿宋_GB2312" w:hAnsi="仿宋_GB2312" w:eastAsia="仿宋_GB2312"/>
          <w:b w:val="0"/>
          <w:i w:val="0"/>
          <w:snapToGrid/>
          <w:color w:val="555555"/>
          <w:sz w:val="32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560" w:lineRule="atLeast"/>
        <w:ind w:firstLine="0"/>
        <w:jc w:val="left"/>
        <w:rPr>
          <w:rFonts w:hint="default" w:ascii="仿宋_GB2312" w:hAnsi="仿宋_GB2312" w:eastAsia="仿宋_GB2312"/>
          <w:b w:val="0"/>
          <w:i w:val="0"/>
          <w:snapToGrid/>
          <w:color w:val="555555"/>
          <w:sz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873C3"/>
    <w:rsid w:val="221873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2019-04-24T01:06:00Z</dcterms:created>
  <dc:creator>Administrator</dc:creator>
  <cp:lastModifiedBy>Administrator</cp:lastModifiedBy>
  <dcterms:modified xsi:type="dcterms:W3CDTF">2019-04-24T01:07:40Z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